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rPr>
          <w:rFonts w:ascii="Times New Roman" w:hAnsi="Times New Roman"/>
          <w:b/>
          <w:i w:val="0"/>
          <w:color w:val="B85439"/>
          <w:sz w:val="26"/>
        </w:rPr>
        <w:t>CBARMORE CPA</w:t>
      </w:r>
    </w:p>
    <w:p>
      <w:pPr>
        <w:spacing w:after="280"/>
      </w:pPr>
      <w:r>
        <w:rPr>
          <w:rFonts w:ascii="Times New Roman" w:hAnsi="Times New Roman"/>
          <w:b w:val="0"/>
          <w:i w:val="0"/>
          <w:color w:val="7C766D"/>
          <w:sz w:val="18"/>
        </w:rPr>
        <w:t>Charles J Barmore CPA PC  |  cbarmorecpa.com</w:t>
      </w:r>
    </w:p>
    <w:p>
      <w:pPr>
        <w:spacing w:after="40"/>
      </w:pPr>
      <w:r>
        <w:rPr>
          <w:rFonts w:ascii="Times New Roman" w:hAnsi="Times New Roman"/>
          <w:b/>
          <w:i w:val="0"/>
          <w:color w:val="1A1816"/>
          <w:sz w:val="40"/>
        </w:rPr>
        <w:t>Written Information Security Plan (WISP)</w:t>
      </w:r>
    </w:p>
    <w:p>
      <w:pPr>
        <w:spacing w:after="280"/>
      </w:pPr>
      <w:r>
        <w:rPr>
          <w:rFonts w:ascii="Times New Roman" w:hAnsi="Times New Roman"/>
          <w:b w:val="0"/>
          <w:i/>
          <w:color w:val="7C766D"/>
          <w:sz w:val="22"/>
        </w:rPr>
        <w:t>Template for tax and accounting firms - FTC Safeguards Rule</w:t>
      </w:r>
    </w:p>
    <w:p>
      <w:pPr>
        <w:spacing w:after="40"/>
      </w:pPr>
      <w:r>
        <w:rPr>
          <w:rFonts w:ascii="Times New Roman" w:hAnsi="Times New Roman"/>
          <w:b/>
          <w:i w:val="0"/>
          <w:sz w:val="24"/>
        </w:rPr>
        <w:t xml:space="preserve">Firm:  </w:t>
      </w:r>
      <w:r>
        <w:rPr>
          <w:rFonts w:ascii="Times New Roman" w:hAnsi="Times New Roman"/>
          <w:b w:val="0"/>
          <w:i w:val="0"/>
          <w:sz w:val="24"/>
        </w:rPr>
        <w:t>[Firm Name]</w:t>
      </w:r>
    </w:p>
    <w:p>
      <w:pPr>
        <w:spacing w:after="40"/>
      </w:pPr>
      <w:r>
        <w:rPr>
          <w:rFonts w:ascii="Times New Roman" w:hAnsi="Times New Roman"/>
          <w:b/>
          <w:i w:val="0"/>
          <w:sz w:val="24"/>
        </w:rPr>
        <w:t xml:space="preserve">Effective date:  </w:t>
      </w:r>
      <w:r>
        <w:rPr>
          <w:rFonts w:ascii="Times New Roman" w:hAnsi="Times New Roman"/>
          <w:b w:val="0"/>
          <w:i w:val="0"/>
          <w:sz w:val="24"/>
        </w:rPr>
        <w:t>[Date]</w:t>
      </w:r>
    </w:p>
    <w:p>
      <w:pPr>
        <w:spacing w:after="40"/>
      </w:pPr>
      <w:r>
        <w:rPr>
          <w:rFonts w:ascii="Times New Roman" w:hAnsi="Times New Roman"/>
          <w:b/>
          <w:i w:val="0"/>
          <w:sz w:val="24"/>
        </w:rPr>
        <w:t xml:space="preserve">Qualified Individual:  </w:t>
      </w:r>
      <w:r>
        <w:rPr>
          <w:rFonts w:ascii="Times New Roman" w:hAnsi="Times New Roman"/>
          <w:b w:val="0"/>
          <w:i w:val="0"/>
          <w:sz w:val="24"/>
        </w:rPr>
        <w:t>[Name / Title]</w:t>
      </w:r>
    </w:p>
    <w:p>
      <w:pPr>
        <w:spacing w:after="40"/>
      </w:pPr>
      <w:r>
        <w:rPr>
          <w:rFonts w:ascii="Times New Roman" w:hAnsi="Times New Roman"/>
          <w:b/>
          <w:i w:val="0"/>
          <w:sz w:val="24"/>
        </w:rPr>
        <w:t xml:space="preserve">Last reviewed:  </w:t>
      </w:r>
      <w:r>
        <w:rPr>
          <w:rFonts w:ascii="Times New Roman" w:hAnsi="Times New Roman"/>
          <w:b w:val="0"/>
          <w:i w:val="0"/>
          <w:sz w:val="24"/>
        </w:rPr>
        <w:t>[Date]</w:t>
      </w:r>
    </w:p>
    <w:p>
      <w:pPr>
        <w:spacing w:after="40"/>
      </w:pPr>
      <w:r>
        <w:rPr>
          <w:rFonts w:ascii="Times New Roman" w:hAnsi="Times New Roman"/>
          <w:b/>
          <w:i w:val="0"/>
          <w:sz w:val="24"/>
        </w:rPr>
        <w:t xml:space="preserve">Version:  </w:t>
      </w:r>
      <w:r>
        <w:rPr>
          <w:rFonts w:ascii="Times New Roman" w:hAnsi="Times New Roman"/>
          <w:b w:val="0"/>
          <w:i w:val="0"/>
          <w:sz w:val="24"/>
        </w:rPr>
        <w:t>1.0</w:t>
      </w:r>
    </w:p>
    <w:p>
      <w:pPr>
        <w:spacing w:before="200" w:after="40"/>
      </w:pPr>
      <w:r>
        <w:rPr>
          <w:rFonts w:ascii="Times New Roman" w:hAnsi="Times New Roman"/>
          <w:b/>
          <w:i w:val="0"/>
          <w:color w:val="B85439"/>
          <w:sz w:val="22"/>
        </w:rPr>
        <w:t>BEFORE YOU USE THIS TEMPLATE</w:t>
      </w:r>
    </w:p>
    <w:p>
      <w:pPr>
        <w:spacing w:after="280"/>
      </w:pPr>
      <w:r>
        <w:rPr>
          <w:rFonts w:ascii="Times New Roman" w:hAnsi="Times New Roman"/>
          <w:b w:val="0"/>
          <w:i/>
          <w:sz w:val="21"/>
        </w:rPr>
        <w:t>This is a template and a starting point only. It is not legal or compliance advice, and adopting it as-is does not make your firm compliant with anything. Every firm is different: customize every bracketed item, delete what does not apply, add what your situation requires, and have your own legal counsel review the result before you implement it. See the full disclaimer at the end of this document.</w:t>
      </w:r>
    </w:p>
    <w:p>
      <w:pPr>
        <w:spacing w:before="200" w:after="80"/>
      </w:pPr>
      <w:r>
        <w:rPr>
          <w:rFonts w:ascii="Times New Roman" w:hAnsi="Times New Roman"/>
          <w:b/>
          <w:i w:val="0"/>
          <w:color w:val="1A1816"/>
          <w:sz w:val="26"/>
        </w:rPr>
        <w:t>About this plan</w:t>
      </w:r>
    </w:p>
    <w:p>
      <w:r>
        <w:rPr>
          <w:rFonts w:ascii="Times New Roman" w:hAnsi="Times New Roman"/>
          <w:b w:val="0"/>
          <w:i w:val="0"/>
          <w:sz w:val="24"/>
        </w:rPr>
        <w:t>Tax and accounting firms that handle customer financial information are "financial institutions" under the FTC Safeguards Rule (16 CFR Part 314) and must maintain a written information security program. The IRS also requires paid tax preparers to have a data security plan (see IRS Publications 4557 and 5708). This template follows the elements required by the Safeguards Rule. Customize every bracketed item to your firm.</w:t>
      </w:r>
    </w:p>
    <w:p>
      <w:pPr>
        <w:spacing w:before="200" w:after="80"/>
      </w:pPr>
      <w:r>
        <w:rPr>
          <w:rFonts w:ascii="Times New Roman" w:hAnsi="Times New Roman"/>
          <w:b/>
          <w:i w:val="0"/>
          <w:color w:val="1A1816"/>
          <w:sz w:val="26"/>
        </w:rPr>
        <w:t>1. Objective</w:t>
      </w:r>
    </w:p>
    <w:p>
      <w:r>
        <w:rPr>
          <w:rFonts w:ascii="Times New Roman" w:hAnsi="Times New Roman"/>
          <w:b w:val="0"/>
          <w:i w:val="0"/>
          <w:sz w:val="24"/>
        </w:rPr>
        <w:t>The objective of this Plan is to create and maintain effective administrative, technical, and physical safeguards to protect the confidentiality, integrity, and availability of customer information held by [Firm Name], and to comply with the FTC Safeguards Rule and applicable law.</w:t>
      </w:r>
    </w:p>
    <w:p>
      <w:pPr>
        <w:spacing w:before="200" w:after="80"/>
      </w:pPr>
      <w:r>
        <w:rPr>
          <w:rFonts w:ascii="Times New Roman" w:hAnsi="Times New Roman"/>
          <w:b/>
          <w:i w:val="0"/>
          <w:color w:val="1A1816"/>
          <w:sz w:val="26"/>
        </w:rPr>
        <w:t>2. Qualified Individual</w:t>
      </w:r>
    </w:p>
    <w:p>
      <w:r>
        <w:rPr>
          <w:rFonts w:ascii="Times New Roman" w:hAnsi="Times New Roman"/>
          <w:b w:val="0"/>
          <w:i w:val="0"/>
          <w:sz w:val="24"/>
        </w:rPr>
        <w:t>[Firm Name] designates [Name / Title] as the Qualified Individual responsible for overseeing, implementing, and enforcing this Plan. The Qualified Individual reports to firm leadership at least annually on the status of the information security program.</w:t>
      </w:r>
    </w:p>
    <w:p>
      <w:pPr>
        <w:spacing w:before="200" w:after="80"/>
      </w:pPr>
      <w:r>
        <w:rPr>
          <w:rFonts w:ascii="Times New Roman" w:hAnsi="Times New Roman"/>
          <w:b/>
          <w:i w:val="0"/>
          <w:color w:val="1A1816"/>
          <w:sz w:val="26"/>
        </w:rPr>
        <w:t>3. Scope and Data Inventory</w:t>
      </w:r>
    </w:p>
    <w:p>
      <w:r>
        <w:rPr>
          <w:rFonts w:ascii="Times New Roman" w:hAnsi="Times New Roman"/>
          <w:b w:val="0"/>
          <w:i w:val="0"/>
          <w:sz w:val="24"/>
        </w:rPr>
        <w:t>This Plan covers all customer information the Firm collects, creates, uses, or maintains, in any format. The Firm maintains an inventory of where customer information is stored, transmitted, and accessed.</w:t>
      </w:r>
    </w:p>
    <w:p>
      <w:pPr>
        <w:spacing w:after="40"/>
      </w:pPr>
      <w:r>
        <w:rPr>
          <w:rFonts w:ascii="Times New Roman" w:hAnsi="Times New Roman"/>
          <w:b/>
          <w:i w:val="0"/>
          <w:sz w:val="24"/>
        </w:rPr>
        <w:t xml:space="preserve">Systems / locations:  </w:t>
      </w:r>
      <w:r>
        <w:rPr>
          <w:rFonts w:ascii="Times New Roman" w:hAnsi="Times New Roman"/>
          <w:b w:val="0"/>
          <w:i w:val="0"/>
          <w:sz w:val="24"/>
        </w:rPr>
        <w:t>[List: practice software, file storage, email, portals, backups, paper files]</w:t>
      </w:r>
    </w:p>
    <w:p>
      <w:pPr>
        <w:spacing w:after="40"/>
      </w:pPr>
      <w:r>
        <w:rPr>
          <w:rFonts w:ascii="Times New Roman" w:hAnsi="Times New Roman"/>
          <w:b/>
          <w:i w:val="0"/>
          <w:sz w:val="24"/>
        </w:rPr>
        <w:t xml:space="preserve">Types of data:  </w:t>
      </w:r>
      <w:r>
        <w:rPr>
          <w:rFonts w:ascii="Times New Roman" w:hAnsi="Times New Roman"/>
          <w:b w:val="0"/>
          <w:i w:val="0"/>
          <w:sz w:val="24"/>
        </w:rPr>
        <w:t>[SSNs/EINs, financial records, tax return information, PII]</w:t>
      </w:r>
    </w:p>
    <w:p>
      <w:pPr>
        <w:spacing w:before="200" w:after="80"/>
      </w:pPr>
      <w:r>
        <w:rPr>
          <w:rFonts w:ascii="Times New Roman" w:hAnsi="Times New Roman"/>
          <w:b/>
          <w:i w:val="0"/>
          <w:color w:val="1A1816"/>
          <w:sz w:val="26"/>
        </w:rPr>
        <w:t>4. Risk Assessment</w:t>
      </w:r>
    </w:p>
    <w:p>
      <w:r>
        <w:rPr>
          <w:rFonts w:ascii="Times New Roman" w:hAnsi="Times New Roman"/>
          <w:b w:val="0"/>
          <w:i w:val="0"/>
          <w:sz w:val="24"/>
        </w:rPr>
        <w:t>The Firm performs and documents a written risk assessment that identifies reasonably foreseeable internal and external risks to customer information and evaluates the sufficiency of existing safeguards. The risk assessment is updated periodically and when the Firm's operations or systems change materially.</w:t>
      </w:r>
    </w:p>
    <w:p>
      <w:pPr>
        <w:pStyle w:val="ListBullet"/>
      </w:pPr>
      <w:r>
        <w:rPr>
          <w:rFonts w:ascii="Times New Roman" w:hAnsi="Times New Roman"/>
          <w:b w:val="0"/>
          <w:i w:val="0"/>
          <w:sz w:val="24"/>
        </w:rPr>
        <w:t>Identify threats (unauthorized access, malware, phishing, insider misuse, loss or theft of devices, vendor compromise).</w:t>
      </w:r>
    </w:p>
    <w:p>
      <w:pPr>
        <w:pStyle w:val="ListBullet"/>
      </w:pPr>
      <w:r>
        <w:rPr>
          <w:rFonts w:ascii="Times New Roman" w:hAnsi="Times New Roman"/>
          <w:b w:val="0"/>
          <w:i w:val="0"/>
          <w:sz w:val="24"/>
        </w:rPr>
        <w:t>Assess likelihood and potential impact of each threat.</w:t>
      </w:r>
    </w:p>
    <w:p>
      <w:pPr>
        <w:pStyle w:val="ListBullet"/>
      </w:pPr>
      <w:r>
        <w:rPr>
          <w:rFonts w:ascii="Times New Roman" w:hAnsi="Times New Roman"/>
          <w:b w:val="0"/>
          <w:i w:val="0"/>
          <w:sz w:val="24"/>
        </w:rPr>
        <w:t>Document mitigating safeguards and any remediation needed.</w:t>
      </w:r>
    </w:p>
    <w:p>
      <w:pPr>
        <w:spacing w:before="200" w:after="80"/>
      </w:pPr>
      <w:r>
        <w:rPr>
          <w:rFonts w:ascii="Times New Roman" w:hAnsi="Times New Roman"/>
          <w:b/>
          <w:i w:val="0"/>
          <w:color w:val="1A1816"/>
          <w:sz w:val="26"/>
        </w:rPr>
        <w:t>5. Safeguards</w:t>
      </w:r>
    </w:p>
    <w:p>
      <w:r>
        <w:rPr>
          <w:rFonts w:ascii="Times New Roman" w:hAnsi="Times New Roman"/>
          <w:b w:val="0"/>
          <w:i w:val="0"/>
          <w:sz w:val="24"/>
        </w:rPr>
        <w:t>The Firm implements safeguards designed to control the risks identified in the risk assessment, including:</w:t>
      </w:r>
    </w:p>
    <w:p>
      <w:pPr>
        <w:pStyle w:val="ListBullet"/>
      </w:pPr>
      <w:r>
        <w:rPr>
          <w:rFonts w:ascii="Times New Roman" w:hAnsi="Times New Roman"/>
          <w:b w:val="0"/>
          <w:i w:val="0"/>
          <w:sz w:val="24"/>
        </w:rPr>
        <w:t>Access controls: access to customer information is limited to personnel who need it; access is reviewed periodically and removed promptly upon role change or departure.</w:t>
      </w:r>
    </w:p>
    <w:p>
      <w:pPr>
        <w:pStyle w:val="ListBullet"/>
      </w:pPr>
      <w:r>
        <w:rPr>
          <w:rFonts w:ascii="Times New Roman" w:hAnsi="Times New Roman"/>
          <w:b w:val="0"/>
          <w:i w:val="0"/>
          <w:sz w:val="24"/>
        </w:rPr>
        <w:t>Authentication: multi-factor authentication (MFA) is required for access to systems containing customer information.</w:t>
      </w:r>
    </w:p>
    <w:p>
      <w:pPr>
        <w:pStyle w:val="ListBullet"/>
      </w:pPr>
      <w:r>
        <w:rPr>
          <w:rFonts w:ascii="Times New Roman" w:hAnsi="Times New Roman"/>
          <w:b w:val="0"/>
          <w:i w:val="0"/>
          <w:sz w:val="24"/>
        </w:rPr>
        <w:t>Encryption: customer information is encrypted in transit and at rest, or protected by equivalent compensating controls.</w:t>
      </w:r>
    </w:p>
    <w:p>
      <w:pPr>
        <w:pStyle w:val="ListBullet"/>
      </w:pPr>
      <w:r>
        <w:rPr>
          <w:rFonts w:ascii="Times New Roman" w:hAnsi="Times New Roman"/>
          <w:b w:val="0"/>
          <w:i w:val="0"/>
          <w:sz w:val="24"/>
        </w:rPr>
        <w:t>Secure configuration and patching: systems and software are kept current; default credentials are changed.</w:t>
      </w:r>
    </w:p>
    <w:p>
      <w:pPr>
        <w:pStyle w:val="ListBullet"/>
      </w:pPr>
      <w:r>
        <w:rPr>
          <w:rFonts w:ascii="Times New Roman" w:hAnsi="Times New Roman"/>
          <w:b w:val="0"/>
          <w:i w:val="0"/>
          <w:sz w:val="24"/>
        </w:rPr>
        <w:t>Malware and email protection: endpoint protection and email filtering are deployed and maintained.</w:t>
      </w:r>
    </w:p>
    <w:p>
      <w:pPr>
        <w:pStyle w:val="ListBullet"/>
      </w:pPr>
      <w:r>
        <w:rPr>
          <w:rFonts w:ascii="Times New Roman" w:hAnsi="Times New Roman"/>
          <w:b w:val="0"/>
          <w:i w:val="0"/>
          <w:sz w:val="24"/>
        </w:rPr>
        <w:t>Secure disposal: customer information is disposed of securely (shredding paper, wiping or destroying media) when no longer needed, consistent with the Firm's retention schedule.</w:t>
      </w:r>
    </w:p>
    <w:p>
      <w:pPr>
        <w:pStyle w:val="ListBullet"/>
      </w:pPr>
      <w:r>
        <w:rPr>
          <w:rFonts w:ascii="Times New Roman" w:hAnsi="Times New Roman"/>
          <w:b w:val="0"/>
          <w:i w:val="0"/>
          <w:sz w:val="24"/>
        </w:rPr>
        <w:t>Change management: material changes to systems are reviewed for security impact.</w:t>
      </w:r>
    </w:p>
    <w:p>
      <w:pPr>
        <w:pStyle w:val="ListBullet"/>
      </w:pPr>
      <w:r>
        <w:rPr>
          <w:rFonts w:ascii="Times New Roman" w:hAnsi="Times New Roman"/>
          <w:b w:val="0"/>
          <w:i w:val="0"/>
          <w:sz w:val="24"/>
        </w:rPr>
        <w:t>Logging and monitoring: activity on systems containing customer information is logged and monitored for unauthorized access.</w:t>
      </w:r>
    </w:p>
    <w:p>
      <w:pPr>
        <w:pStyle w:val="ListBullet"/>
      </w:pPr>
      <w:r>
        <w:rPr>
          <w:rFonts w:ascii="Times New Roman" w:hAnsi="Times New Roman"/>
          <w:b w:val="0"/>
          <w:i w:val="0"/>
          <w:sz w:val="24"/>
        </w:rPr>
        <w:t>Physical security: paper files and devices are secured against unauthorized physical access.</w:t>
      </w:r>
    </w:p>
    <w:p>
      <w:pPr>
        <w:spacing w:before="200" w:after="80"/>
      </w:pPr>
      <w:r>
        <w:rPr>
          <w:rFonts w:ascii="Times New Roman" w:hAnsi="Times New Roman"/>
          <w:b/>
          <w:i w:val="0"/>
          <w:color w:val="1A1816"/>
          <w:sz w:val="26"/>
        </w:rPr>
        <w:t>6. Testing and Monitoring</w:t>
      </w:r>
    </w:p>
    <w:p>
      <w:r>
        <w:rPr>
          <w:rFonts w:ascii="Times New Roman" w:hAnsi="Times New Roman"/>
          <w:b w:val="0"/>
          <w:i w:val="0"/>
          <w:sz w:val="24"/>
        </w:rPr>
        <w:t>The Firm regularly tests and monitors the effectiveness of its safeguards through continuous monitoring or periodic testing (for example, vulnerability scans and a review of access and system logs).</w:t>
      </w:r>
    </w:p>
    <w:p>
      <w:pPr>
        <w:spacing w:before="200" w:after="80"/>
      </w:pPr>
      <w:r>
        <w:rPr>
          <w:rFonts w:ascii="Times New Roman" w:hAnsi="Times New Roman"/>
          <w:b/>
          <w:i w:val="0"/>
          <w:color w:val="1A1816"/>
          <w:sz w:val="26"/>
        </w:rPr>
        <w:t>7. Security Awareness Training</w:t>
      </w:r>
    </w:p>
    <w:p>
      <w:r>
        <w:rPr>
          <w:rFonts w:ascii="Times New Roman" w:hAnsi="Times New Roman"/>
          <w:b w:val="0"/>
          <w:i w:val="0"/>
          <w:sz w:val="24"/>
        </w:rPr>
        <w:t>All personnel receive security awareness training at onboarding and at least annually, covering phishing, safe data handling, incident reporting, and this Plan.</w:t>
      </w:r>
    </w:p>
    <w:p>
      <w:pPr>
        <w:spacing w:before="200" w:after="80"/>
      </w:pPr>
      <w:r>
        <w:rPr>
          <w:rFonts w:ascii="Times New Roman" w:hAnsi="Times New Roman"/>
          <w:b/>
          <w:i w:val="0"/>
          <w:color w:val="1A1816"/>
          <w:sz w:val="26"/>
        </w:rPr>
        <w:t>8. Service Provider Oversight</w:t>
      </w:r>
    </w:p>
    <w:p>
      <w:r>
        <w:rPr>
          <w:rFonts w:ascii="Times New Roman" w:hAnsi="Times New Roman"/>
          <w:b w:val="0"/>
          <w:i w:val="0"/>
          <w:sz w:val="24"/>
        </w:rPr>
        <w:t>The Firm selects service providers capable of maintaining appropriate safeguards, requires them by contract to do so, and periodically assesses their security. See the Firm's AI Tool Vendor Checklist for evaluating technology and AI providers.</w:t>
      </w:r>
    </w:p>
    <w:p>
      <w:pPr>
        <w:spacing w:before="200" w:after="80"/>
      </w:pPr>
      <w:r>
        <w:rPr>
          <w:rFonts w:ascii="Times New Roman" w:hAnsi="Times New Roman"/>
          <w:b/>
          <w:i w:val="0"/>
          <w:color w:val="1A1816"/>
          <w:sz w:val="26"/>
        </w:rPr>
        <w:t>9. Incident Response Plan</w:t>
      </w:r>
    </w:p>
    <w:p>
      <w:r>
        <w:rPr>
          <w:rFonts w:ascii="Times New Roman" w:hAnsi="Times New Roman"/>
          <w:b w:val="0"/>
          <w:i w:val="0"/>
          <w:sz w:val="24"/>
        </w:rPr>
        <w:t>The Firm maintains a written incident response plan to address any security event materially affecting customer information. The plan addresses:</w:t>
      </w:r>
    </w:p>
    <w:p>
      <w:pPr>
        <w:pStyle w:val="ListBullet"/>
      </w:pPr>
      <w:r>
        <w:rPr>
          <w:rFonts w:ascii="Times New Roman" w:hAnsi="Times New Roman"/>
          <w:b w:val="0"/>
          <w:i w:val="0"/>
          <w:sz w:val="24"/>
        </w:rPr>
        <w:t>Detection, internal reporting, and escalation to the Qualified Individual.</w:t>
      </w:r>
    </w:p>
    <w:p>
      <w:pPr>
        <w:pStyle w:val="ListBullet"/>
      </w:pPr>
      <w:r>
        <w:rPr>
          <w:rFonts w:ascii="Times New Roman" w:hAnsi="Times New Roman"/>
          <w:b w:val="0"/>
          <w:i w:val="0"/>
          <w:sz w:val="24"/>
        </w:rPr>
        <w:t>Containment, investigation, and remediation.</w:t>
      </w:r>
    </w:p>
    <w:p>
      <w:pPr>
        <w:pStyle w:val="ListBullet"/>
      </w:pPr>
      <w:r>
        <w:rPr>
          <w:rFonts w:ascii="Times New Roman" w:hAnsi="Times New Roman"/>
          <w:b w:val="0"/>
          <w:i w:val="0"/>
          <w:sz w:val="24"/>
        </w:rPr>
        <w:t>Notification obligations to the IRS, FTC, state agencies, clients, and others as required by law.</w:t>
      </w:r>
    </w:p>
    <w:p>
      <w:pPr>
        <w:pStyle w:val="ListBullet"/>
      </w:pPr>
      <w:r>
        <w:rPr>
          <w:rFonts w:ascii="Times New Roman" w:hAnsi="Times New Roman"/>
          <w:b w:val="0"/>
          <w:i w:val="0"/>
          <w:sz w:val="24"/>
        </w:rPr>
        <w:t>Documentation of the incident and lessons learned.</w:t>
      </w:r>
    </w:p>
    <w:p>
      <w:pPr>
        <w:spacing w:after="40"/>
      </w:pPr>
      <w:r>
        <w:rPr>
          <w:rFonts w:ascii="Times New Roman" w:hAnsi="Times New Roman"/>
          <w:b/>
          <w:i w:val="0"/>
          <w:sz w:val="24"/>
        </w:rPr>
        <w:t xml:space="preserve">Incident contact:  </w:t>
      </w:r>
      <w:r>
        <w:rPr>
          <w:rFonts w:ascii="Times New Roman" w:hAnsi="Times New Roman"/>
          <w:b w:val="0"/>
          <w:i w:val="0"/>
          <w:sz w:val="24"/>
        </w:rPr>
        <w:t>[Name / phone / email]</w:t>
      </w:r>
    </w:p>
    <w:p>
      <w:pPr>
        <w:spacing w:after="40"/>
      </w:pPr>
      <w:r>
        <w:rPr>
          <w:rFonts w:ascii="Times New Roman" w:hAnsi="Times New Roman"/>
          <w:b/>
          <w:i w:val="0"/>
          <w:sz w:val="24"/>
        </w:rPr>
        <w:t xml:space="preserve">IRS Stakeholder Liaison:  </w:t>
      </w:r>
      <w:r>
        <w:rPr>
          <w:rFonts w:ascii="Times New Roman" w:hAnsi="Times New Roman"/>
          <w:b w:val="0"/>
          <w:i w:val="0"/>
          <w:sz w:val="24"/>
        </w:rPr>
        <w:t>[Contact]</w:t>
      </w:r>
    </w:p>
    <w:p>
      <w:pPr>
        <w:spacing w:before="200" w:after="80"/>
      </w:pPr>
      <w:r>
        <w:rPr>
          <w:rFonts w:ascii="Times New Roman" w:hAnsi="Times New Roman"/>
          <w:b/>
          <w:i w:val="0"/>
          <w:color w:val="1A1816"/>
          <w:sz w:val="26"/>
        </w:rPr>
        <w:t>10. Periodic Evaluation and Adjustment</w:t>
      </w:r>
    </w:p>
    <w:p>
      <w:r>
        <w:rPr>
          <w:rFonts w:ascii="Times New Roman" w:hAnsi="Times New Roman"/>
          <w:b w:val="0"/>
          <w:i w:val="0"/>
          <w:sz w:val="24"/>
        </w:rPr>
        <w:t>The Qualified Individual evaluates and adjusts this Plan at least annually and in light of testing results, material changes to operations or systems, and any security incidents.</w:t>
      </w:r>
    </w:p>
    <w:p>
      <w:pPr>
        <w:spacing w:before="200" w:after="80"/>
      </w:pPr>
      <w:r>
        <w:rPr>
          <w:rFonts w:ascii="Times New Roman" w:hAnsi="Times New Roman"/>
          <w:b/>
          <w:i w:val="0"/>
          <w:color w:val="1A1816"/>
          <w:sz w:val="26"/>
        </w:rPr>
        <w:t>11. Approval</w:t>
      </w:r>
    </w:p>
    <w:p>
      <w:pPr>
        <w:spacing w:after="40"/>
      </w:pPr>
      <w:r>
        <w:rPr>
          <w:rFonts w:ascii="Times New Roman" w:hAnsi="Times New Roman"/>
          <w:b/>
          <w:i w:val="0"/>
          <w:sz w:val="24"/>
        </w:rPr>
        <w:t xml:space="preserve">Qualified Individual:  </w:t>
      </w:r>
      <w:r>
        <w:rPr>
          <w:rFonts w:ascii="Times New Roman" w:hAnsi="Times New Roman"/>
          <w:b w:val="0"/>
          <w:i w:val="0"/>
          <w:sz w:val="24"/>
        </w:rPr>
        <w:t>_______________________________</w:t>
      </w:r>
    </w:p>
    <w:p>
      <w:pPr>
        <w:spacing w:after="40"/>
      </w:pPr>
      <w:r>
        <w:rPr>
          <w:rFonts w:ascii="Times New Roman" w:hAnsi="Times New Roman"/>
          <w:b/>
          <w:i w:val="0"/>
          <w:sz w:val="24"/>
        </w:rPr>
        <w:t xml:space="preserve">Firm leadership:  </w:t>
      </w:r>
      <w:r>
        <w:rPr>
          <w:rFonts w:ascii="Times New Roman" w:hAnsi="Times New Roman"/>
          <w:b w:val="0"/>
          <w:i w:val="0"/>
          <w:sz w:val="24"/>
        </w:rPr>
        <w:t>_______________________________</w:t>
      </w:r>
    </w:p>
    <w:p>
      <w:pPr>
        <w:spacing w:after="40"/>
      </w:pPr>
      <w:r>
        <w:rPr>
          <w:rFonts w:ascii="Times New Roman" w:hAnsi="Times New Roman"/>
          <w:b/>
          <w:i w:val="0"/>
          <w:sz w:val="24"/>
        </w:rPr>
        <w:t xml:space="preserve">Date:  </w:t>
      </w:r>
      <w:r>
        <w:rPr>
          <w:rFonts w:ascii="Times New Roman" w:hAnsi="Times New Roman"/>
          <w:b w:val="0"/>
          <w:i w:val="0"/>
          <w:sz w:val="24"/>
        </w:rPr>
        <w:t>_______________________________</w:t>
      </w:r>
    </w:p>
    <w:p>
      <w:pPr>
        <w:spacing w:before="320"/>
      </w:pPr>
      <w:r>
        <w:rPr>
          <w:rFonts w:ascii="Times New Roman" w:hAnsi="Times New Roman"/>
          <w:b/>
          <w:i w:val="0"/>
          <w:color w:val="7C766D"/>
          <w:sz w:val="18"/>
        </w:rPr>
        <w:t xml:space="preserve">Disclaimer. </w:t>
      </w:r>
      <w:r>
        <w:rPr>
          <w:rFonts w:ascii="Times New Roman" w:hAnsi="Times New Roman"/>
          <w:b w:val="0"/>
          <w:i w:val="0"/>
          <w:color w:val="7C766D"/>
          <w:sz w:val="18"/>
        </w:rPr>
        <w:t>This template is provided by Charles J Barmore CPA PC for general informational and educational purposes only. It is a starting point, not legal, tax, or compliance advice, and neither downloading nor using it creates a client, advisory, or professional relationship. It is provided "as is," without warranty of any kind, express or implied, and Charles J Barmore CPA PC disclaims all liability arising from its use. Using this template does not by itself make your firm compliant with the FTC Safeguards Rule, IRS requirements, professional standards, or any other law or regulation; compliance depends on how your firm adapts, implements, and maintains it. Laws, regulations, and professional standards change and vary by jurisdiction. Review and adapt this document to your firm's facts and have your own legal counsel and advisors review it before relying on it.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