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rFonts w:ascii="Times New Roman" w:hAnsi="Times New Roman"/>
          <w:b/>
          <w:i w:val="0"/>
          <w:color w:val="B85439"/>
          <w:sz w:val="26"/>
        </w:rPr>
        <w:t>CBARMORE CPA</w:t>
      </w:r>
    </w:p>
    <w:p>
      <w:pPr>
        <w:spacing w:after="280"/>
      </w:pPr>
      <w:r>
        <w:rPr>
          <w:rFonts w:ascii="Times New Roman" w:hAnsi="Times New Roman"/>
          <w:b w:val="0"/>
          <w:i w:val="0"/>
          <w:color w:val="7C766D"/>
          <w:sz w:val="18"/>
        </w:rPr>
        <w:t>Charles J Barmore CPA PC  |  cbarmorecpa.com</w:t>
      </w:r>
    </w:p>
    <w:p>
      <w:pPr>
        <w:spacing w:after="40"/>
      </w:pPr>
      <w:r>
        <w:rPr>
          <w:rFonts w:ascii="Times New Roman" w:hAnsi="Times New Roman"/>
          <w:b/>
          <w:i w:val="0"/>
          <w:color w:val="1A1816"/>
          <w:sz w:val="40"/>
        </w:rPr>
        <w:t>Artificial Intelligence Use Policy</w:t>
      </w:r>
    </w:p>
    <w:p>
      <w:pPr>
        <w:spacing w:after="280"/>
      </w:pPr>
      <w:r>
        <w:rPr>
          <w:rFonts w:ascii="Times New Roman" w:hAnsi="Times New Roman"/>
          <w:b w:val="0"/>
          <w:i/>
          <w:color w:val="7C766D"/>
          <w:sz w:val="22"/>
        </w:rPr>
        <w:t>Template for accounting, tax, and advisory firms</w:t>
      </w:r>
    </w:p>
    <w:p>
      <w:pPr>
        <w:spacing w:after="40"/>
      </w:pPr>
      <w:r>
        <w:rPr>
          <w:rFonts w:ascii="Times New Roman" w:hAnsi="Times New Roman"/>
          <w:b/>
          <w:i w:val="0"/>
          <w:sz w:val="24"/>
        </w:rPr>
        <w:t xml:space="preserve">Firm:  </w:t>
      </w:r>
      <w:r>
        <w:rPr>
          <w:rFonts w:ascii="Times New Roman" w:hAnsi="Times New Roman"/>
          <w:b w:val="0"/>
          <w:i w:val="0"/>
          <w:sz w:val="24"/>
        </w:rPr>
        <w:t>[Firm Name]</w:t>
      </w:r>
    </w:p>
    <w:p>
      <w:pPr>
        <w:spacing w:after="40"/>
      </w:pPr>
      <w:r>
        <w:rPr>
          <w:rFonts w:ascii="Times New Roman" w:hAnsi="Times New Roman"/>
          <w:b/>
          <w:i w:val="0"/>
          <w:sz w:val="24"/>
        </w:rPr>
        <w:t xml:space="preserve">Effective date:  </w:t>
      </w:r>
      <w:r>
        <w:rPr>
          <w:rFonts w:ascii="Times New Roman" w:hAnsi="Times New Roman"/>
          <w:b w:val="0"/>
          <w:i w:val="0"/>
          <w:sz w:val="24"/>
        </w:rPr>
        <w:t>[Date]</w:t>
      </w:r>
    </w:p>
    <w:p>
      <w:pPr>
        <w:spacing w:after="40"/>
      </w:pPr>
      <w:r>
        <w:rPr>
          <w:rFonts w:ascii="Times New Roman" w:hAnsi="Times New Roman"/>
          <w:b/>
          <w:i w:val="0"/>
          <w:sz w:val="24"/>
        </w:rPr>
        <w:t xml:space="preserve">Policy owner:  </w:t>
      </w:r>
      <w:r>
        <w:rPr>
          <w:rFonts w:ascii="Times New Roman" w:hAnsi="Times New Roman"/>
          <w:b w:val="0"/>
          <w:i w:val="0"/>
          <w:sz w:val="24"/>
        </w:rPr>
        <w:t>[Name / Title]</w:t>
      </w:r>
    </w:p>
    <w:p>
      <w:pPr>
        <w:spacing w:after="40"/>
      </w:pPr>
      <w:r>
        <w:rPr>
          <w:rFonts w:ascii="Times New Roman" w:hAnsi="Times New Roman"/>
          <w:b/>
          <w:i w:val="0"/>
          <w:sz w:val="24"/>
        </w:rPr>
        <w:t xml:space="preserve">Version:  </w:t>
      </w:r>
      <w:r>
        <w:rPr>
          <w:rFonts w:ascii="Times New Roman" w:hAnsi="Times New Roman"/>
          <w:b w:val="0"/>
          <w:i w:val="0"/>
          <w:sz w:val="24"/>
        </w:rPr>
        <w:t>1.0</w:t>
      </w:r>
    </w:p>
    <w:p>
      <w:pPr>
        <w:spacing w:before="200" w:after="40"/>
      </w:pPr>
      <w:r>
        <w:rPr>
          <w:rFonts w:ascii="Times New Roman" w:hAnsi="Times New Roman"/>
          <w:b/>
          <w:i w:val="0"/>
          <w:color w:val="B85439"/>
          <w:sz w:val="22"/>
        </w:rPr>
        <w:t>BEFORE YOU USE THIS TEMPLATE</w:t>
      </w:r>
    </w:p>
    <w:p>
      <w:pPr>
        <w:spacing w:after="280"/>
      </w:pPr>
      <w:r>
        <w:rPr>
          <w:rFonts w:ascii="Times New Roman" w:hAnsi="Times New Roman"/>
          <w:b w:val="0"/>
          <w:i/>
          <w:sz w:val="21"/>
        </w:rPr>
        <w:t>This is a template and a starting point only. It is not legal or compliance advice, and adopting it as-is does not make your firm compliant with anything. Every firm is different: customize every bracketed item, delete what does not apply, add what your situation requires, and have your own legal counsel review the result before you implement it. See the full disclaimer at the end of this document.</w:t>
      </w:r>
    </w:p>
    <w:p>
      <w:pPr>
        <w:spacing w:before="200" w:after="80"/>
      </w:pPr>
      <w:r>
        <w:rPr>
          <w:rFonts w:ascii="Times New Roman" w:hAnsi="Times New Roman"/>
          <w:b/>
          <w:i w:val="0"/>
          <w:color w:val="1A1816"/>
          <w:sz w:val="26"/>
        </w:rPr>
        <w:t>1. Purpose</w:t>
      </w:r>
    </w:p>
    <w:p>
      <w:r>
        <w:rPr>
          <w:rFonts w:ascii="Times New Roman" w:hAnsi="Times New Roman"/>
          <w:b w:val="0"/>
          <w:i w:val="0"/>
          <w:sz w:val="24"/>
        </w:rPr>
        <w:t>This policy governs how personnel of [Firm Name] (the "Firm") use artificial intelligence ("AI") tools in the course of performing professional services. Its goals are to capture the benefits of AI while protecting client confidentiality, preserving data security, maintaining the quality and integrity of our work, and upholding our professional and ethical obligations.</w:t>
      </w:r>
    </w:p>
    <w:p>
      <w:pPr>
        <w:spacing w:before="200" w:after="80"/>
      </w:pPr>
      <w:r>
        <w:rPr>
          <w:rFonts w:ascii="Times New Roman" w:hAnsi="Times New Roman"/>
          <w:b/>
          <w:i w:val="0"/>
          <w:color w:val="1A1816"/>
          <w:sz w:val="26"/>
        </w:rPr>
        <w:t>2. Scope</w:t>
      </w:r>
    </w:p>
    <w:p>
      <w:r>
        <w:rPr>
          <w:rFonts w:ascii="Times New Roman" w:hAnsi="Times New Roman"/>
          <w:b w:val="0"/>
          <w:i w:val="0"/>
          <w:sz w:val="24"/>
        </w:rPr>
        <w:t>This policy applies to all partners, employees, contractors, and interns of the Firm, and to all AI tools used for Firm purposes, whether stand-alone products, features embedded in other software, or capabilities accessed through an API.</w:t>
      </w:r>
    </w:p>
    <w:p>
      <w:pPr>
        <w:spacing w:before="200" w:after="80"/>
      </w:pPr>
      <w:r>
        <w:rPr>
          <w:rFonts w:ascii="Times New Roman" w:hAnsi="Times New Roman"/>
          <w:b/>
          <w:i w:val="0"/>
          <w:color w:val="1A1816"/>
          <w:sz w:val="26"/>
        </w:rPr>
        <w:t>3. Definitions</w:t>
      </w:r>
    </w:p>
    <w:p>
      <w:pPr>
        <w:pStyle w:val="ListBullet"/>
      </w:pPr>
      <w:r>
        <w:rPr>
          <w:rFonts w:ascii="Times New Roman" w:hAnsi="Times New Roman"/>
          <w:b w:val="0"/>
          <w:i w:val="0"/>
          <w:sz w:val="24"/>
        </w:rPr>
        <w:t>AI tool: any software that uses machine learning or large language models to generate text, code, images, analysis, or recommendations (for example, general-purpose chat assistants, AI features in tax or accounting software, and document automation tools).</w:t>
      </w:r>
    </w:p>
    <w:p>
      <w:pPr>
        <w:pStyle w:val="ListBullet"/>
      </w:pPr>
      <w:r>
        <w:rPr>
          <w:rFonts w:ascii="Times New Roman" w:hAnsi="Times New Roman"/>
          <w:b w:val="0"/>
          <w:i w:val="0"/>
          <w:sz w:val="24"/>
        </w:rPr>
        <w:t>Confidential client data: any nonpublic information about a client or its personnel, including financial records, tax return information, and personally identifiable information (PII) such as Social Security numbers and account numbers.</w:t>
      </w:r>
    </w:p>
    <w:p>
      <w:pPr>
        <w:spacing w:before="200" w:after="80"/>
      </w:pPr>
      <w:r>
        <w:rPr>
          <w:rFonts w:ascii="Times New Roman" w:hAnsi="Times New Roman"/>
          <w:b/>
          <w:i w:val="0"/>
          <w:color w:val="1A1816"/>
          <w:sz w:val="26"/>
        </w:rPr>
        <w:t>4. Approved Tools</w:t>
      </w:r>
    </w:p>
    <w:p>
      <w:r>
        <w:rPr>
          <w:rFonts w:ascii="Times New Roman" w:hAnsi="Times New Roman"/>
          <w:b w:val="0"/>
          <w:i w:val="0"/>
          <w:sz w:val="24"/>
        </w:rPr>
        <w:t>Only tools on the Firm's approved list may be used with Firm or client information. The policy owner maintains this list and reviews each tool against the Firm's vendor due-diligence criteria before approval. Complete the list below.</w:t>
      </w:r>
    </w:p>
    <w:p>
      <w:pPr>
        <w:spacing w:after="40"/>
      </w:pPr>
      <w:r>
        <w:rPr>
          <w:rFonts w:ascii="Times New Roman" w:hAnsi="Times New Roman"/>
          <w:b/>
          <w:i w:val="0"/>
          <w:sz w:val="24"/>
        </w:rPr>
        <w:t xml:space="preserve">Approved tool 1:  </w:t>
      </w:r>
      <w:r>
        <w:rPr>
          <w:rFonts w:ascii="Times New Roman" w:hAnsi="Times New Roman"/>
          <w:b w:val="0"/>
          <w:i w:val="0"/>
          <w:sz w:val="24"/>
        </w:rPr>
        <w:t>[Tool name, approved uses, data restrictions]</w:t>
      </w:r>
    </w:p>
    <w:p>
      <w:pPr>
        <w:spacing w:after="40"/>
      </w:pPr>
      <w:r>
        <w:rPr>
          <w:rFonts w:ascii="Times New Roman" w:hAnsi="Times New Roman"/>
          <w:b/>
          <w:i w:val="0"/>
          <w:sz w:val="24"/>
        </w:rPr>
        <w:t xml:space="preserve">Approved tool 2:  </w:t>
      </w:r>
      <w:r>
        <w:rPr>
          <w:rFonts w:ascii="Times New Roman" w:hAnsi="Times New Roman"/>
          <w:b w:val="0"/>
          <w:i w:val="0"/>
          <w:sz w:val="24"/>
        </w:rPr>
        <w:t>[Tool name, approved uses, data restrictions]</w:t>
      </w:r>
    </w:p>
    <w:p>
      <w:pPr>
        <w:spacing w:after="40"/>
      </w:pPr>
      <w:r>
        <w:rPr>
          <w:rFonts w:ascii="Times New Roman" w:hAnsi="Times New Roman"/>
          <w:b/>
          <w:i w:val="0"/>
          <w:sz w:val="24"/>
        </w:rPr>
        <w:t xml:space="preserve">Approved tool 3:  </w:t>
      </w:r>
      <w:r>
        <w:rPr>
          <w:rFonts w:ascii="Times New Roman" w:hAnsi="Times New Roman"/>
          <w:b w:val="0"/>
          <w:i w:val="0"/>
          <w:sz w:val="24"/>
        </w:rPr>
        <w:t>[Tool name, approved uses, data restrictions]</w:t>
      </w:r>
    </w:p>
    <w:p>
      <w:pPr>
        <w:spacing w:before="200" w:after="80"/>
      </w:pPr>
      <w:r>
        <w:rPr>
          <w:rFonts w:ascii="Times New Roman" w:hAnsi="Times New Roman"/>
          <w:b/>
          <w:i w:val="0"/>
          <w:color w:val="1A1816"/>
          <w:sz w:val="26"/>
        </w:rPr>
        <w:t>5. Permitted Uses</w:t>
      </w:r>
    </w:p>
    <w:p>
      <w:pPr>
        <w:pStyle w:val="ListBullet"/>
      </w:pPr>
      <w:r>
        <w:rPr>
          <w:rFonts w:ascii="Times New Roman" w:hAnsi="Times New Roman"/>
          <w:b w:val="0"/>
          <w:i w:val="0"/>
          <w:sz w:val="24"/>
        </w:rPr>
        <w:t>Drafting internal documents, correspondence, and summaries that contain no confidential client data.</w:t>
      </w:r>
    </w:p>
    <w:p>
      <w:pPr>
        <w:pStyle w:val="ListBullet"/>
      </w:pPr>
      <w:r>
        <w:rPr>
          <w:rFonts w:ascii="Times New Roman" w:hAnsi="Times New Roman"/>
          <w:b w:val="0"/>
          <w:i w:val="0"/>
          <w:sz w:val="24"/>
        </w:rPr>
        <w:t>Research, brainstorming, and explanation of concepts.</w:t>
      </w:r>
    </w:p>
    <w:p>
      <w:pPr>
        <w:pStyle w:val="ListBullet"/>
      </w:pPr>
      <w:r>
        <w:rPr>
          <w:rFonts w:ascii="Times New Roman" w:hAnsi="Times New Roman"/>
          <w:b w:val="0"/>
          <w:i w:val="0"/>
          <w:sz w:val="24"/>
        </w:rPr>
        <w:t>Generating and reviewing formulas, code, and workpaper logic.</w:t>
      </w:r>
    </w:p>
    <w:p>
      <w:pPr>
        <w:pStyle w:val="ListBullet"/>
      </w:pPr>
      <w:r>
        <w:rPr>
          <w:rFonts w:ascii="Times New Roman" w:hAnsi="Times New Roman"/>
          <w:b w:val="0"/>
          <w:i w:val="0"/>
          <w:sz w:val="24"/>
        </w:rPr>
        <w:t>Working with client data only in approved tools that the Firm has confirmed do not train on Firm inputs and that meet the Firm's security and confidentiality requirements.</w:t>
      </w:r>
    </w:p>
    <w:p>
      <w:pPr>
        <w:spacing w:before="200" w:after="80"/>
      </w:pPr>
      <w:r>
        <w:rPr>
          <w:rFonts w:ascii="Times New Roman" w:hAnsi="Times New Roman"/>
          <w:b/>
          <w:i w:val="0"/>
          <w:color w:val="1A1816"/>
          <w:sz w:val="26"/>
        </w:rPr>
        <w:t>6. Prohibited Uses</w:t>
      </w:r>
    </w:p>
    <w:p>
      <w:pPr>
        <w:pStyle w:val="ListBullet"/>
      </w:pPr>
      <w:r>
        <w:rPr>
          <w:rFonts w:ascii="Times New Roman" w:hAnsi="Times New Roman"/>
          <w:b w:val="0"/>
          <w:i w:val="0"/>
          <w:sz w:val="24"/>
        </w:rPr>
        <w:t>Entering confidential client data, PII, or tax return information into any tool that is not on the approved list, including consumer or free-tier AI products.</w:t>
      </w:r>
    </w:p>
    <w:p>
      <w:pPr>
        <w:pStyle w:val="ListBullet"/>
      </w:pPr>
      <w:r>
        <w:rPr>
          <w:rFonts w:ascii="Times New Roman" w:hAnsi="Times New Roman"/>
          <w:b w:val="0"/>
          <w:i w:val="0"/>
          <w:sz w:val="24"/>
        </w:rPr>
        <w:t>Relying on AI output as final work product without professional review and verification.</w:t>
      </w:r>
    </w:p>
    <w:p>
      <w:pPr>
        <w:pStyle w:val="ListBullet"/>
      </w:pPr>
      <w:r>
        <w:rPr>
          <w:rFonts w:ascii="Times New Roman" w:hAnsi="Times New Roman"/>
          <w:b w:val="0"/>
          <w:i w:val="0"/>
          <w:sz w:val="24"/>
        </w:rPr>
        <w:t>Using AI to make a final professional judgment (for example, an audit conclusion, tax position, or assurance opinion) without a qualified professional's independent evaluation.</w:t>
      </w:r>
    </w:p>
    <w:p>
      <w:pPr>
        <w:pStyle w:val="ListBullet"/>
      </w:pPr>
      <w:r>
        <w:rPr>
          <w:rFonts w:ascii="Times New Roman" w:hAnsi="Times New Roman"/>
          <w:b w:val="0"/>
          <w:i w:val="0"/>
          <w:sz w:val="24"/>
        </w:rPr>
        <w:t>Circumventing the Firm's security controls, or using personal AI accounts for Firm work.</w:t>
      </w:r>
    </w:p>
    <w:p>
      <w:pPr>
        <w:spacing w:before="200" w:after="80"/>
      </w:pPr>
      <w:r>
        <w:rPr>
          <w:rFonts w:ascii="Times New Roman" w:hAnsi="Times New Roman"/>
          <w:b/>
          <w:i w:val="0"/>
          <w:color w:val="1A1816"/>
          <w:sz w:val="26"/>
        </w:rPr>
        <w:t>7. Client Data, Confidentiality, and Legal Obligations</w:t>
      </w:r>
    </w:p>
    <w:p>
      <w:r>
        <w:rPr>
          <w:rFonts w:ascii="Times New Roman" w:hAnsi="Times New Roman"/>
          <w:b w:val="0"/>
          <w:i w:val="0"/>
          <w:sz w:val="24"/>
        </w:rPr>
        <w:t>Personnel must protect client confidentiality at all times. Tax return information may be used or disclosed only as permitted by Internal Revenue Code section 7216 and related regulations, which may require specific client consent. The Firm's handling of client information is also governed by its Written Information Security Plan (WISP) and the FTC Safeguards Rule, the AICPA Code of Professional Conduct, and applicable state board rules. When in doubt, do not enter the information and consult the policy owner.</w:t>
      </w:r>
    </w:p>
    <w:p>
      <w:pPr>
        <w:spacing w:before="200" w:after="80"/>
      </w:pPr>
      <w:r>
        <w:rPr>
          <w:rFonts w:ascii="Times New Roman" w:hAnsi="Times New Roman"/>
          <w:b/>
          <w:i w:val="0"/>
          <w:color w:val="1A1816"/>
          <w:sz w:val="26"/>
        </w:rPr>
        <w:t>8. Human Review and Professional Responsibility</w:t>
      </w:r>
    </w:p>
    <w:p>
      <w:r>
        <w:rPr>
          <w:rFonts w:ascii="Times New Roman" w:hAnsi="Times New Roman"/>
          <w:b w:val="0"/>
          <w:i w:val="0"/>
          <w:sz w:val="24"/>
        </w:rPr>
        <w:t>AI is a tool that assists, but does not replace, professional judgment. The professional who signs or is responsible for an engagement remains fully responsible for the accuracy, completeness, and appropriateness of all work product, regardless of whether AI was used to help produce it. All AI-assisted output must be reviewed, verified against source documents and authority, and corrected before use.</w:t>
      </w:r>
    </w:p>
    <w:p>
      <w:pPr>
        <w:spacing w:before="200" w:after="80"/>
      </w:pPr>
      <w:r>
        <w:rPr>
          <w:rFonts w:ascii="Times New Roman" w:hAnsi="Times New Roman"/>
          <w:b/>
          <w:i w:val="0"/>
          <w:color w:val="1A1816"/>
          <w:sz w:val="26"/>
        </w:rPr>
        <w:t>9. Accuracy and Verification</w:t>
      </w:r>
    </w:p>
    <w:p>
      <w:r>
        <w:rPr>
          <w:rFonts w:ascii="Times New Roman" w:hAnsi="Times New Roman"/>
          <w:b w:val="0"/>
          <w:i w:val="0"/>
          <w:sz w:val="24"/>
        </w:rPr>
        <w:t>AI tools can produce confident but incorrect results, including fabricated citations and calculations. Personnel must independently verify any facts, figures, citations, or authorities generated by AI before relying on them in client work.</w:t>
      </w:r>
    </w:p>
    <w:p>
      <w:pPr>
        <w:spacing w:before="200" w:after="80"/>
      </w:pPr>
      <w:r>
        <w:rPr>
          <w:rFonts w:ascii="Times New Roman" w:hAnsi="Times New Roman"/>
          <w:b/>
          <w:i w:val="0"/>
          <w:color w:val="1A1816"/>
          <w:sz w:val="26"/>
        </w:rPr>
        <w:t>10. Client Disclosure and Consent</w:t>
      </w:r>
    </w:p>
    <w:p>
      <w:r>
        <w:rPr>
          <w:rFonts w:ascii="Times New Roman" w:hAnsi="Times New Roman"/>
          <w:b w:val="0"/>
          <w:i w:val="0"/>
          <w:sz w:val="24"/>
        </w:rPr>
        <w:t>The Firm discloses its use of AI to clients as appropriate and obtains consent where required. See the Firm's Client AI Disclosure language and engagement letter provisions. Any disclosure of tax return information to an AI service provider must comply with IRC section 7216 consent requirements.</w:t>
      </w:r>
    </w:p>
    <w:p>
      <w:pPr>
        <w:spacing w:before="200" w:after="80"/>
      </w:pPr>
      <w:r>
        <w:rPr>
          <w:rFonts w:ascii="Times New Roman" w:hAnsi="Times New Roman"/>
          <w:b/>
          <w:i w:val="0"/>
          <w:color w:val="1A1816"/>
          <w:sz w:val="26"/>
        </w:rPr>
        <w:t>11. Vendor Due Diligence</w:t>
      </w:r>
    </w:p>
    <w:p>
      <w:r>
        <w:rPr>
          <w:rFonts w:ascii="Times New Roman" w:hAnsi="Times New Roman"/>
          <w:b w:val="0"/>
          <w:i w:val="0"/>
          <w:sz w:val="24"/>
        </w:rPr>
        <w:t>Before any tool is approved, the policy owner evaluates the vendor's data handling, training practices, security posture, data retention, and contractual terms using the Firm's AI Tool Vendor Checklist. Approved tools are re-evaluated at least annually and whenever the vendor materially changes its terms.</w:t>
      </w:r>
    </w:p>
    <w:p>
      <w:pPr>
        <w:spacing w:before="200" w:after="80"/>
      </w:pPr>
      <w:r>
        <w:rPr>
          <w:rFonts w:ascii="Times New Roman" w:hAnsi="Times New Roman"/>
          <w:b/>
          <w:i w:val="0"/>
          <w:color w:val="1A1816"/>
          <w:sz w:val="26"/>
        </w:rPr>
        <w:t>12. Training</w:t>
      </w:r>
    </w:p>
    <w:p>
      <w:r>
        <w:rPr>
          <w:rFonts w:ascii="Times New Roman" w:hAnsi="Times New Roman"/>
          <w:b w:val="0"/>
          <w:i w:val="0"/>
          <w:sz w:val="24"/>
        </w:rPr>
        <w:t>All personnel receive training on this policy at onboarding and at least annually thereafter. Training covers approved tools, prohibited uses, confidentiality, and verification responsibilities.</w:t>
      </w:r>
    </w:p>
    <w:p>
      <w:pPr>
        <w:spacing w:before="200" w:after="80"/>
      </w:pPr>
      <w:r>
        <w:rPr>
          <w:rFonts w:ascii="Times New Roman" w:hAnsi="Times New Roman"/>
          <w:b/>
          <w:i w:val="0"/>
          <w:color w:val="1A1816"/>
          <w:sz w:val="26"/>
        </w:rPr>
        <w:t>13. Monitoring and Enforcement</w:t>
      </w:r>
    </w:p>
    <w:p>
      <w:r>
        <w:rPr>
          <w:rFonts w:ascii="Times New Roman" w:hAnsi="Times New Roman"/>
          <w:b w:val="0"/>
          <w:i w:val="0"/>
          <w:sz w:val="24"/>
        </w:rPr>
        <w:t>The Firm may monitor the use of AI tools for compliance with this policy. Violations may result in disciplinary action up to and including termination, and may be reported as required by law or professional standards.</w:t>
      </w:r>
    </w:p>
    <w:p>
      <w:pPr>
        <w:spacing w:before="200" w:after="80"/>
      </w:pPr>
      <w:r>
        <w:rPr>
          <w:rFonts w:ascii="Times New Roman" w:hAnsi="Times New Roman"/>
          <w:b/>
          <w:i w:val="0"/>
          <w:color w:val="1A1816"/>
          <w:sz w:val="26"/>
        </w:rPr>
        <w:t>14. Acknowledgment</w:t>
      </w:r>
    </w:p>
    <w:p>
      <w:r>
        <w:rPr>
          <w:rFonts w:ascii="Times New Roman" w:hAnsi="Times New Roman"/>
          <w:b w:val="0"/>
          <w:i w:val="0"/>
          <w:sz w:val="24"/>
        </w:rPr>
        <w:t>I have read, understand, and agree to comply with this Artificial Intelligence Use Policy.</w:t>
      </w:r>
    </w:p>
    <w:p/>
    <w:p>
      <w:pPr>
        <w:spacing w:after="40"/>
      </w:pPr>
      <w:r>
        <w:rPr>
          <w:rFonts w:ascii="Times New Roman" w:hAnsi="Times New Roman"/>
          <w:b/>
          <w:i w:val="0"/>
          <w:sz w:val="24"/>
        </w:rPr>
        <w:t xml:space="preserve">Name: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Signature: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Date:  </w:t>
      </w:r>
      <w:r>
        <w:rPr>
          <w:rFonts w:ascii="Times New Roman" w:hAnsi="Times New Roman"/>
          <w:b w:val="0"/>
          <w:i w:val="0"/>
          <w:sz w:val="24"/>
        </w:rPr>
        <w:t>_______________________________</w:t>
      </w:r>
    </w:p>
    <w:p>
      <w:pPr>
        <w:spacing w:before="320"/>
      </w:pPr>
      <w:r>
        <w:rPr>
          <w:rFonts w:ascii="Times New Roman" w:hAnsi="Times New Roman"/>
          <w:b/>
          <w:i w:val="0"/>
          <w:color w:val="7C766D"/>
          <w:sz w:val="18"/>
        </w:rPr>
        <w:t xml:space="preserve">Disclaimer. </w:t>
      </w:r>
      <w:r>
        <w:rPr>
          <w:rFonts w:ascii="Times New Roman" w:hAnsi="Times New Roman"/>
          <w:b w:val="0"/>
          <w:i w:val="0"/>
          <w:color w:val="7C766D"/>
          <w:sz w:val="18"/>
        </w:rPr>
        <w:t>This template is provided by Charles J Barmore CPA PC for general informational and educational purposes only. It is a starting point, not legal, tax, or compliance advice, and neither downloading nor using it creates a client, advisory, or professional relationship. It is provided "as is," without warranty of any kind, express or implied, and Charles J Barmore CPA PC disclaims all liability arising from its use. Using this template does not by itself make your firm compliant with the FTC Safeguards Rule, IRS requirements, professional standards, or any other law or regulation; compliance depends on how your firm adapts, implements, and maintains it. Laws, regulations, and professional standards change and vary by jurisdiction. Review and adapt this document to your firm's facts and have your own legal counsel and advisors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