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rFonts w:ascii="Times New Roman" w:hAnsi="Times New Roman"/>
          <w:b/>
          <w:i w:val="0"/>
          <w:color w:val="B85439"/>
          <w:sz w:val="26"/>
        </w:rPr>
        <w:t>CBARMORE CPA</w:t>
      </w:r>
    </w:p>
    <w:p>
      <w:pPr>
        <w:spacing w:after="280"/>
      </w:pPr>
      <w:r>
        <w:rPr>
          <w:rFonts w:ascii="Times New Roman" w:hAnsi="Times New Roman"/>
          <w:b w:val="0"/>
          <w:i w:val="0"/>
          <w:color w:val="7C766D"/>
          <w:sz w:val="18"/>
        </w:rPr>
        <w:t>Charles J Barmore CPA PC  |  cbarmorecpa.com</w:t>
      </w:r>
    </w:p>
    <w:p>
      <w:pPr>
        <w:spacing w:after="40"/>
      </w:pPr>
      <w:r>
        <w:rPr>
          <w:rFonts w:ascii="Times New Roman" w:hAnsi="Times New Roman"/>
          <w:b/>
          <w:i w:val="0"/>
          <w:color w:val="1A1816"/>
          <w:sz w:val="40"/>
        </w:rPr>
        <w:t>AI Tool Vendor Due-Diligence Checklist</w:t>
      </w:r>
    </w:p>
    <w:p>
      <w:pPr>
        <w:spacing w:after="280"/>
      </w:pPr>
      <w:r>
        <w:rPr>
          <w:rFonts w:ascii="Times New Roman" w:hAnsi="Times New Roman"/>
          <w:b w:val="0"/>
          <w:i/>
          <w:color w:val="7C766D"/>
          <w:sz w:val="22"/>
        </w:rPr>
        <w:t>Evaluate an AI vendor before your firm adopts it</w:t>
      </w:r>
    </w:p>
    <w:p>
      <w:pPr>
        <w:spacing w:after="40"/>
      </w:pPr>
      <w:r>
        <w:rPr>
          <w:rFonts w:ascii="Times New Roman" w:hAnsi="Times New Roman"/>
          <w:b/>
          <w:i w:val="0"/>
          <w:sz w:val="24"/>
        </w:rPr>
        <w:t xml:space="preserve">Tool / vendor:  </w:t>
      </w:r>
      <w:r>
        <w:rPr>
          <w:rFonts w:ascii="Times New Roman" w:hAnsi="Times New Roman"/>
          <w:b w:val="0"/>
          <w:i w:val="0"/>
          <w:sz w:val="24"/>
        </w:rPr>
        <w:t>[Name]</w:t>
      </w:r>
    </w:p>
    <w:p>
      <w:pPr>
        <w:spacing w:after="40"/>
      </w:pPr>
      <w:r>
        <w:rPr>
          <w:rFonts w:ascii="Times New Roman" w:hAnsi="Times New Roman"/>
          <w:b/>
          <w:i w:val="0"/>
          <w:sz w:val="24"/>
        </w:rPr>
        <w:t xml:space="preserve">Reviewed by:  </w:t>
      </w:r>
      <w:r>
        <w:rPr>
          <w:rFonts w:ascii="Times New Roman" w:hAnsi="Times New Roman"/>
          <w:b w:val="0"/>
          <w:i w:val="0"/>
          <w:sz w:val="24"/>
        </w:rPr>
        <w:t>[Name / Title]</w:t>
      </w:r>
    </w:p>
    <w:p>
      <w:pPr>
        <w:spacing w:after="40"/>
      </w:pPr>
      <w:r>
        <w:rPr>
          <w:rFonts w:ascii="Times New Roman" w:hAnsi="Times New Roman"/>
          <w:b/>
          <w:i w:val="0"/>
          <w:sz w:val="24"/>
        </w:rPr>
        <w:t xml:space="preserve">Date:  </w:t>
      </w:r>
      <w:r>
        <w:rPr>
          <w:rFonts w:ascii="Times New Roman" w:hAnsi="Times New Roman"/>
          <w:b w:val="0"/>
          <w:i w:val="0"/>
          <w:sz w:val="24"/>
        </w:rPr>
        <w:t>[Date]</w:t>
      </w:r>
    </w:p>
    <w:p>
      <w:pPr>
        <w:spacing w:after="40"/>
      </w:pPr>
      <w:r>
        <w:rPr>
          <w:rFonts w:ascii="Times New Roman" w:hAnsi="Times New Roman"/>
          <w:b/>
          <w:i w:val="0"/>
          <w:sz w:val="24"/>
        </w:rPr>
        <w:t xml:space="preserve">Decision:  </w:t>
      </w:r>
      <w:r>
        <w:rPr>
          <w:rFonts w:ascii="Times New Roman" w:hAnsi="Times New Roman"/>
          <w:b w:val="0"/>
          <w:i w:val="0"/>
          <w:sz w:val="24"/>
        </w:rPr>
        <w:t>[ ] Approved   [ ] Rejected   [ ] More info needed</w:t>
      </w:r>
    </w:p>
    <w:p>
      <w:pPr>
        <w:spacing w:before="200" w:after="40"/>
      </w:pPr>
      <w:r>
        <w:rPr>
          <w:rFonts w:ascii="Times New Roman" w:hAnsi="Times New Roman"/>
          <w:b/>
          <w:i w:val="0"/>
          <w:color w:val="B85439"/>
          <w:sz w:val="22"/>
        </w:rPr>
        <w:t>BEFORE YOU USE THIS TEMPLATE</w:t>
      </w:r>
    </w:p>
    <w:p>
      <w:pPr>
        <w:spacing w:after="280"/>
      </w:pPr>
      <w:r>
        <w:rPr>
          <w:rFonts w:ascii="Times New Roman" w:hAnsi="Times New Roman"/>
          <w:b w:val="0"/>
          <w:i/>
          <w:sz w:val="21"/>
        </w:rPr>
        <w:t>This is a template and a starting point only. It is not legal or compliance advice, and adopting it as-is does not make your firm compliant with anything. Every firm is different: customize every bracketed item, delete what does not apply, add what your situation requires, and have your own legal counsel review the result before you implement it. See the full disclaimer at the end of this document.</w:t>
      </w:r>
    </w:p>
    <w:p>
      <w:pPr>
        <w:spacing w:before="200" w:after="80"/>
      </w:pPr>
      <w:r>
        <w:rPr>
          <w:rFonts w:ascii="Times New Roman" w:hAnsi="Times New Roman"/>
          <w:b/>
          <w:i w:val="0"/>
          <w:color w:val="1A1816"/>
          <w:sz w:val="26"/>
        </w:rPr>
        <w:t>1. Data Handling and Privacy</w:t>
      </w:r>
    </w:p>
    <w:p>
      <w:pPr>
        <w:spacing w:after="80"/>
      </w:pPr>
      <w:r>
        <w:rPr>
          <w:rFonts w:ascii="Times New Roman" w:hAnsi="Times New Roman"/>
          <w:b w:val="0"/>
          <w:i w:val="0"/>
          <w:sz w:val="24"/>
        </w:rPr>
        <w:t xml:space="preserve">☐  </w:t>
      </w:r>
      <w:r>
        <w:rPr>
          <w:rFonts w:ascii="Times New Roman" w:hAnsi="Times New Roman"/>
          <w:b w:val="0"/>
          <w:i w:val="0"/>
          <w:sz w:val="24"/>
        </w:rPr>
        <w:t>The vendor's terms state whether our inputs and outputs are used to train its models, and we can opt out (or training is off by default for business/enterprise use).</w:t>
      </w:r>
    </w:p>
    <w:p>
      <w:pPr>
        <w:spacing w:after="80"/>
      </w:pPr>
      <w:r>
        <w:rPr>
          <w:rFonts w:ascii="Times New Roman" w:hAnsi="Times New Roman"/>
          <w:b w:val="0"/>
          <w:i w:val="0"/>
          <w:sz w:val="24"/>
        </w:rPr>
        <w:t xml:space="preserve">☐  </w:t>
      </w:r>
      <w:r>
        <w:rPr>
          <w:rFonts w:ascii="Times New Roman" w:hAnsi="Times New Roman"/>
          <w:b w:val="0"/>
          <w:i w:val="0"/>
          <w:sz w:val="24"/>
        </w:rPr>
        <w:t>Data is logically segregated and not shared with other customers.</w:t>
      </w:r>
    </w:p>
    <w:p>
      <w:pPr>
        <w:spacing w:after="80"/>
      </w:pPr>
      <w:r>
        <w:rPr>
          <w:rFonts w:ascii="Times New Roman" w:hAnsi="Times New Roman"/>
          <w:b w:val="0"/>
          <w:i w:val="0"/>
          <w:sz w:val="24"/>
        </w:rPr>
        <w:t xml:space="preserve">☐  </w:t>
      </w:r>
      <w:r>
        <w:rPr>
          <w:rFonts w:ascii="Times New Roman" w:hAnsi="Times New Roman"/>
          <w:b w:val="0"/>
          <w:i w:val="0"/>
          <w:sz w:val="24"/>
        </w:rPr>
        <w:t>The vendor discloses where data is stored and processed (geographic location and sub-processors).</w:t>
      </w:r>
    </w:p>
    <w:p>
      <w:pPr>
        <w:spacing w:after="80"/>
      </w:pPr>
      <w:r>
        <w:rPr>
          <w:rFonts w:ascii="Times New Roman" w:hAnsi="Times New Roman"/>
          <w:b w:val="0"/>
          <w:i w:val="0"/>
          <w:sz w:val="24"/>
        </w:rPr>
        <w:t xml:space="preserve">☐  </w:t>
      </w:r>
      <w:r>
        <w:rPr>
          <w:rFonts w:ascii="Times New Roman" w:hAnsi="Times New Roman"/>
          <w:b w:val="0"/>
          <w:i w:val="0"/>
          <w:sz w:val="24"/>
        </w:rPr>
        <w:t>A current list of sub-processors is available.</w:t>
      </w:r>
    </w:p>
    <w:p>
      <w:pPr>
        <w:spacing w:after="80"/>
      </w:pPr>
      <w:r>
        <w:rPr>
          <w:rFonts w:ascii="Times New Roman" w:hAnsi="Times New Roman"/>
          <w:b w:val="0"/>
          <w:i w:val="0"/>
          <w:sz w:val="24"/>
        </w:rPr>
        <w:t xml:space="preserve">☐  </w:t>
      </w:r>
      <w:r>
        <w:rPr>
          <w:rFonts w:ascii="Times New Roman" w:hAnsi="Times New Roman"/>
          <w:b w:val="0"/>
          <w:i w:val="0"/>
          <w:sz w:val="24"/>
        </w:rPr>
        <w:t>Data retention and deletion terms are clear, and we can request deletion of our data.</w:t>
      </w:r>
    </w:p>
    <w:p>
      <w:pPr>
        <w:spacing w:before="200" w:after="80"/>
      </w:pPr>
      <w:r>
        <w:rPr>
          <w:rFonts w:ascii="Times New Roman" w:hAnsi="Times New Roman"/>
          <w:b/>
          <w:i w:val="0"/>
          <w:color w:val="1A1816"/>
          <w:sz w:val="26"/>
        </w:rPr>
        <w:t>2. Security</w:t>
      </w:r>
    </w:p>
    <w:p>
      <w:pPr>
        <w:spacing w:after="80"/>
      </w:pPr>
      <w:r>
        <w:rPr>
          <w:rFonts w:ascii="Times New Roman" w:hAnsi="Times New Roman"/>
          <w:b w:val="0"/>
          <w:i w:val="0"/>
          <w:sz w:val="24"/>
        </w:rPr>
        <w:t xml:space="preserve">☐  </w:t>
      </w:r>
      <w:r>
        <w:rPr>
          <w:rFonts w:ascii="Times New Roman" w:hAnsi="Times New Roman"/>
          <w:b w:val="0"/>
          <w:i w:val="0"/>
          <w:sz w:val="24"/>
        </w:rPr>
        <w:t>Data is encrypted in transit and at rest.</w:t>
      </w:r>
    </w:p>
    <w:p>
      <w:pPr>
        <w:spacing w:after="80"/>
      </w:pPr>
      <w:r>
        <w:rPr>
          <w:rFonts w:ascii="Times New Roman" w:hAnsi="Times New Roman"/>
          <w:b w:val="0"/>
          <w:i w:val="0"/>
          <w:sz w:val="24"/>
        </w:rPr>
        <w:t xml:space="preserve">☐  </w:t>
      </w:r>
      <w:r>
        <w:rPr>
          <w:rFonts w:ascii="Times New Roman" w:hAnsi="Times New Roman"/>
          <w:b w:val="0"/>
          <w:i w:val="0"/>
          <w:sz w:val="24"/>
        </w:rPr>
        <w:t>The vendor supports multi-factor authentication (MFA) and role-based access controls.</w:t>
      </w:r>
    </w:p>
    <w:p>
      <w:pPr>
        <w:spacing w:after="80"/>
      </w:pPr>
      <w:r>
        <w:rPr>
          <w:rFonts w:ascii="Times New Roman" w:hAnsi="Times New Roman"/>
          <w:b w:val="0"/>
          <w:i w:val="0"/>
          <w:sz w:val="24"/>
        </w:rPr>
        <w:t xml:space="preserve">☐  </w:t>
      </w:r>
      <w:r>
        <w:rPr>
          <w:rFonts w:ascii="Times New Roman" w:hAnsi="Times New Roman"/>
          <w:b w:val="0"/>
          <w:i w:val="0"/>
          <w:sz w:val="24"/>
        </w:rPr>
        <w:t>The vendor holds a recognized security attestation (for example, SOC 2 Type II or ISO 27001) and will share the report or summary.</w:t>
      </w:r>
    </w:p>
    <w:p>
      <w:pPr>
        <w:spacing w:after="80"/>
      </w:pPr>
      <w:r>
        <w:rPr>
          <w:rFonts w:ascii="Times New Roman" w:hAnsi="Times New Roman"/>
          <w:b w:val="0"/>
          <w:i w:val="0"/>
          <w:sz w:val="24"/>
        </w:rPr>
        <w:t xml:space="preserve">☐  </w:t>
      </w:r>
      <w:r>
        <w:rPr>
          <w:rFonts w:ascii="Times New Roman" w:hAnsi="Times New Roman"/>
          <w:b w:val="0"/>
          <w:i w:val="0"/>
          <w:sz w:val="24"/>
        </w:rPr>
        <w:t>The vendor has a documented incident response and breach notification process.</w:t>
      </w:r>
    </w:p>
    <w:p>
      <w:pPr>
        <w:spacing w:after="80"/>
      </w:pPr>
      <w:r>
        <w:rPr>
          <w:rFonts w:ascii="Times New Roman" w:hAnsi="Times New Roman"/>
          <w:b w:val="0"/>
          <w:i w:val="0"/>
          <w:sz w:val="24"/>
        </w:rPr>
        <w:t xml:space="preserve">☐  </w:t>
      </w:r>
      <w:r>
        <w:rPr>
          <w:rFonts w:ascii="Times New Roman" w:hAnsi="Times New Roman"/>
          <w:b w:val="0"/>
          <w:i w:val="0"/>
          <w:sz w:val="24"/>
        </w:rPr>
        <w:t>Audit logging of access and activity is available.</w:t>
      </w:r>
    </w:p>
    <w:p>
      <w:pPr>
        <w:spacing w:before="200" w:after="80"/>
      </w:pPr>
      <w:r>
        <w:rPr>
          <w:rFonts w:ascii="Times New Roman" w:hAnsi="Times New Roman"/>
          <w:b/>
          <w:i w:val="0"/>
          <w:color w:val="1A1816"/>
          <w:sz w:val="26"/>
        </w:rPr>
        <w:t>3. Compliance and Confidentiality</w:t>
      </w:r>
    </w:p>
    <w:p>
      <w:pPr>
        <w:spacing w:after="80"/>
      </w:pPr>
      <w:r>
        <w:rPr>
          <w:rFonts w:ascii="Times New Roman" w:hAnsi="Times New Roman"/>
          <w:b w:val="0"/>
          <w:i w:val="0"/>
          <w:sz w:val="24"/>
        </w:rPr>
        <w:t xml:space="preserve">☐  </w:t>
      </w:r>
      <w:r>
        <w:rPr>
          <w:rFonts w:ascii="Times New Roman" w:hAnsi="Times New Roman"/>
          <w:b w:val="0"/>
          <w:i w:val="0"/>
          <w:sz w:val="24"/>
        </w:rPr>
        <w:t>Use of the tool can comply with IRC section 7216 if tax return information will be involved (consent obtained where required).</w:t>
      </w:r>
    </w:p>
    <w:p>
      <w:pPr>
        <w:spacing w:after="80"/>
      </w:pPr>
      <w:r>
        <w:rPr>
          <w:rFonts w:ascii="Times New Roman" w:hAnsi="Times New Roman"/>
          <w:b w:val="0"/>
          <w:i w:val="0"/>
          <w:sz w:val="24"/>
        </w:rPr>
        <w:t xml:space="preserve">☐  </w:t>
      </w:r>
      <w:r>
        <w:rPr>
          <w:rFonts w:ascii="Times New Roman" w:hAnsi="Times New Roman"/>
          <w:b w:val="0"/>
          <w:i w:val="0"/>
          <w:sz w:val="24"/>
        </w:rPr>
        <w:t>The vendor's terms are consistent with our confidentiality obligations and the FTC Safeguards Rule.</w:t>
      </w:r>
    </w:p>
    <w:p>
      <w:pPr>
        <w:spacing w:after="80"/>
      </w:pPr>
      <w:r>
        <w:rPr>
          <w:rFonts w:ascii="Times New Roman" w:hAnsi="Times New Roman"/>
          <w:b w:val="0"/>
          <w:i w:val="0"/>
          <w:sz w:val="24"/>
        </w:rPr>
        <w:t xml:space="preserve">☐  </w:t>
      </w:r>
      <w:r>
        <w:rPr>
          <w:rFonts w:ascii="Times New Roman" w:hAnsi="Times New Roman"/>
          <w:b w:val="0"/>
          <w:i w:val="0"/>
          <w:sz w:val="24"/>
        </w:rPr>
        <w:t>A Data Processing Agreement (DPA) or equivalent is available if needed.</w:t>
      </w:r>
    </w:p>
    <w:p>
      <w:pPr>
        <w:spacing w:after="80"/>
      </w:pPr>
      <w:r>
        <w:rPr>
          <w:rFonts w:ascii="Times New Roman" w:hAnsi="Times New Roman"/>
          <w:b w:val="0"/>
          <w:i w:val="0"/>
          <w:sz w:val="24"/>
        </w:rPr>
        <w:t xml:space="preserve">☐  </w:t>
      </w:r>
      <w:r>
        <w:rPr>
          <w:rFonts w:ascii="Times New Roman" w:hAnsi="Times New Roman"/>
          <w:b w:val="0"/>
          <w:i w:val="0"/>
          <w:sz w:val="24"/>
        </w:rPr>
        <w:t>The tool's use is consistent with the AICPA Code of Professional Conduct and applicable state board rules.</w:t>
      </w:r>
    </w:p>
    <w:p>
      <w:pPr>
        <w:spacing w:before="200" w:after="80"/>
      </w:pPr>
      <w:r>
        <w:rPr>
          <w:rFonts w:ascii="Times New Roman" w:hAnsi="Times New Roman"/>
          <w:b/>
          <w:i w:val="0"/>
          <w:color w:val="1A1816"/>
          <w:sz w:val="26"/>
        </w:rPr>
        <w:t>4. Accuracy and Controls</w:t>
      </w:r>
    </w:p>
    <w:p>
      <w:pPr>
        <w:spacing w:after="80"/>
      </w:pPr>
      <w:r>
        <w:rPr>
          <w:rFonts w:ascii="Times New Roman" w:hAnsi="Times New Roman"/>
          <w:b w:val="0"/>
          <w:i w:val="0"/>
          <w:sz w:val="24"/>
        </w:rPr>
        <w:t xml:space="preserve">☐  </w:t>
      </w:r>
      <w:r>
        <w:rPr>
          <w:rFonts w:ascii="Times New Roman" w:hAnsi="Times New Roman"/>
          <w:b w:val="0"/>
          <w:i w:val="0"/>
          <w:sz w:val="24"/>
        </w:rPr>
        <w:t>The tool's intended use, limitations, and known failure modes are documented.</w:t>
      </w:r>
    </w:p>
    <w:p>
      <w:pPr>
        <w:spacing w:after="80"/>
      </w:pPr>
      <w:r>
        <w:rPr>
          <w:rFonts w:ascii="Times New Roman" w:hAnsi="Times New Roman"/>
          <w:b w:val="0"/>
          <w:i w:val="0"/>
          <w:sz w:val="24"/>
        </w:rPr>
        <w:t xml:space="preserve">☐  </w:t>
      </w:r>
      <w:r>
        <w:rPr>
          <w:rFonts w:ascii="Times New Roman" w:hAnsi="Times New Roman"/>
          <w:b w:val="0"/>
          <w:i w:val="0"/>
          <w:sz w:val="24"/>
        </w:rPr>
        <w:t>Output can be reviewed and verified by a professional before use (no fully automated final decisions).</w:t>
      </w:r>
    </w:p>
    <w:p>
      <w:pPr>
        <w:spacing w:after="80"/>
      </w:pPr>
      <w:r>
        <w:rPr>
          <w:rFonts w:ascii="Times New Roman" w:hAnsi="Times New Roman"/>
          <w:b w:val="0"/>
          <w:i w:val="0"/>
          <w:sz w:val="24"/>
        </w:rPr>
        <w:t xml:space="preserve">☐  </w:t>
      </w:r>
      <w:r>
        <w:rPr>
          <w:rFonts w:ascii="Times New Roman" w:hAnsi="Times New Roman"/>
          <w:b w:val="0"/>
          <w:i w:val="0"/>
          <w:sz w:val="24"/>
        </w:rPr>
        <w:t>The vendor is transparent about model changes that could affect output.</w:t>
      </w:r>
    </w:p>
    <w:p>
      <w:pPr>
        <w:spacing w:before="200" w:after="80"/>
      </w:pPr>
      <w:r>
        <w:rPr>
          <w:rFonts w:ascii="Times New Roman" w:hAnsi="Times New Roman"/>
          <w:b/>
          <w:i w:val="0"/>
          <w:color w:val="1A1816"/>
          <w:sz w:val="26"/>
        </w:rPr>
        <w:t>5. Contractual and Operational</w:t>
      </w:r>
    </w:p>
    <w:p>
      <w:pPr>
        <w:spacing w:after="80"/>
      </w:pPr>
      <w:r>
        <w:rPr>
          <w:rFonts w:ascii="Times New Roman" w:hAnsi="Times New Roman"/>
          <w:b w:val="0"/>
          <w:i w:val="0"/>
          <w:sz w:val="24"/>
        </w:rPr>
        <w:t xml:space="preserve">☐  </w:t>
      </w:r>
      <w:r>
        <w:rPr>
          <w:rFonts w:ascii="Times New Roman" w:hAnsi="Times New Roman"/>
          <w:b w:val="0"/>
          <w:i w:val="0"/>
          <w:sz w:val="24"/>
        </w:rPr>
        <w:t>Pricing, term, and termination/offboarding (including data export and deletion) are acceptable.</w:t>
      </w:r>
    </w:p>
    <w:p>
      <w:pPr>
        <w:spacing w:after="80"/>
      </w:pPr>
      <w:r>
        <w:rPr>
          <w:rFonts w:ascii="Times New Roman" w:hAnsi="Times New Roman"/>
          <w:b w:val="0"/>
          <w:i w:val="0"/>
          <w:sz w:val="24"/>
        </w:rPr>
        <w:t xml:space="preserve">☐  </w:t>
      </w:r>
      <w:r>
        <w:rPr>
          <w:rFonts w:ascii="Times New Roman" w:hAnsi="Times New Roman"/>
          <w:b w:val="0"/>
          <w:i w:val="0"/>
          <w:sz w:val="24"/>
        </w:rPr>
        <w:t>Liability, indemnification, and warranty terms have been reviewed.</w:t>
      </w:r>
    </w:p>
    <w:p>
      <w:pPr>
        <w:spacing w:after="80"/>
      </w:pPr>
      <w:r>
        <w:rPr>
          <w:rFonts w:ascii="Times New Roman" w:hAnsi="Times New Roman"/>
          <w:b w:val="0"/>
          <w:i w:val="0"/>
          <w:sz w:val="24"/>
        </w:rPr>
        <w:t xml:space="preserve">☐  </w:t>
      </w:r>
      <w:r>
        <w:rPr>
          <w:rFonts w:ascii="Times New Roman" w:hAnsi="Times New Roman"/>
          <w:b w:val="0"/>
          <w:i w:val="0"/>
          <w:sz w:val="24"/>
        </w:rPr>
        <w:t>Vendor stability and support (uptime, SLAs, roadmap) are acceptable.</w:t>
      </w:r>
    </w:p>
    <w:p>
      <w:pPr>
        <w:spacing w:after="80"/>
      </w:pPr>
      <w:r>
        <w:rPr>
          <w:rFonts w:ascii="Times New Roman" w:hAnsi="Times New Roman"/>
          <w:b w:val="0"/>
          <w:i w:val="0"/>
          <w:sz w:val="24"/>
        </w:rPr>
        <w:t xml:space="preserve">☐  </w:t>
      </w:r>
      <w:r>
        <w:rPr>
          <w:rFonts w:ascii="Times New Roman" w:hAnsi="Times New Roman"/>
          <w:b w:val="0"/>
          <w:i w:val="0"/>
          <w:sz w:val="24"/>
        </w:rPr>
        <w:t>An internal owner is assigned and a re-review date is set (at least annually).</w:t>
      </w:r>
    </w:p>
    <w:p>
      <w:pPr>
        <w:spacing w:before="200" w:after="80"/>
      </w:pPr>
      <w:r>
        <w:rPr>
          <w:rFonts w:ascii="Times New Roman" w:hAnsi="Times New Roman"/>
          <w:b/>
          <w:i w:val="0"/>
          <w:color w:val="1A1816"/>
          <w:sz w:val="26"/>
        </w:rPr>
        <w:t>Notes and conclusion</w:t>
      </w:r>
    </w:p>
    <w:p>
      <w:r>
        <w:rPr>
          <w:rFonts w:ascii="Times New Roman" w:hAnsi="Times New Roman"/>
          <w:b w:val="0"/>
          <w:i w:val="0"/>
          <w:sz w:val="24"/>
        </w:rPr>
        <w:t>[Summarize findings, residual risks, conditions of approval, and the re-review date here.]</w:t>
      </w:r>
    </w:p>
    <w:p>
      <w:pPr>
        <w:spacing w:before="320"/>
      </w:pPr>
      <w:r>
        <w:rPr>
          <w:rFonts w:ascii="Times New Roman" w:hAnsi="Times New Roman"/>
          <w:b/>
          <w:i w:val="0"/>
          <w:color w:val="7C766D"/>
          <w:sz w:val="18"/>
        </w:rPr>
        <w:t xml:space="preserve">Disclaimer. </w:t>
      </w:r>
      <w:r>
        <w:rPr>
          <w:rFonts w:ascii="Times New Roman" w:hAnsi="Times New Roman"/>
          <w:b w:val="0"/>
          <w:i w:val="0"/>
          <w:color w:val="7C766D"/>
          <w:sz w:val="18"/>
        </w:rPr>
        <w:t>This template is provided by Charles J Barmore CPA PC for general informational and educational purposes only. It is a starting point, not legal, tax, or compliance advice, and neither downloading nor using it creates a client, advisory, or professional relationship. It is provided "as is," without warranty of any kind, express or implied, and Charles J Barmore CPA PC disclaims all liability arising from its use. Using this template does not by itself make your firm compliant with the FTC Safeguards Rule, IRS requirements, professional standards, or any other law or regulation; compliance depends on how your firm adapts, implements, and maintains it. Laws, regulations, and professional standards change and vary by jurisdiction. Review and adapt this document to your firm's facts and have your own legal counsel and advisors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